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0E77B" w14:textId="77777777" w:rsidR="009835A3" w:rsidRDefault="009835A3" w:rsidP="009835A3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Stage de 6 mois master 2 </w:t>
      </w:r>
    </w:p>
    <w:p w14:paraId="143D46A2" w14:textId="77777777" w:rsidR="009835A3" w:rsidRDefault="009835A3" w:rsidP="009835A3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Laboratoire d’accueil :</w:t>
      </w:r>
      <w:r>
        <w:rPr>
          <w:rFonts w:ascii="Arial" w:hAnsi="Arial" w:cs="Arial"/>
          <w:sz w:val="20"/>
          <w:szCs w:val="20"/>
        </w:rPr>
        <w:t xml:space="preserve"> Laboratoire Navier (UMR ENPC – Université Eiffel et CNRS)</w:t>
      </w:r>
    </w:p>
    <w:p w14:paraId="0DCB6C60" w14:textId="24BB7008" w:rsidR="009835A3" w:rsidRDefault="009835A3" w:rsidP="009835A3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Bâtiment Carnot (15) : 6 et 8 avenue Blaise- Pascal – Champs-sur-Marne</w:t>
      </w:r>
    </w:p>
    <w:p w14:paraId="45C5AECF" w14:textId="597318E3" w:rsidR="0021765F" w:rsidRDefault="0021765F" w:rsidP="009835A3">
      <w:pPr>
        <w:spacing w:after="120" w:line="300" w:lineRule="atLeast"/>
        <w:jc w:val="both"/>
        <w:rPr>
          <w:rFonts w:ascii="Arial" w:hAnsi="Arial" w:cs="Arial"/>
          <w:sz w:val="20"/>
          <w:szCs w:val="20"/>
        </w:rPr>
      </w:pPr>
      <w:r w:rsidRPr="00DB3189">
        <w:rPr>
          <w:rFonts w:ascii="Arial" w:hAnsi="Arial" w:cs="Arial"/>
          <w:b/>
          <w:bCs/>
          <w:sz w:val="20"/>
          <w:szCs w:val="20"/>
        </w:rPr>
        <w:t>Laboratoire en collaboration :</w:t>
      </w:r>
      <w:r>
        <w:rPr>
          <w:rFonts w:ascii="Arial" w:hAnsi="Arial" w:cs="Arial"/>
          <w:sz w:val="20"/>
          <w:szCs w:val="20"/>
        </w:rPr>
        <w:t xml:space="preserve"> Institut de Chimie et des Matériaux Paris Est (</w:t>
      </w:r>
      <w:r w:rsidR="001E4BFC">
        <w:rPr>
          <w:rFonts w:ascii="Arial" w:hAnsi="Arial" w:cs="Arial"/>
          <w:sz w:val="20"/>
          <w:szCs w:val="20"/>
        </w:rPr>
        <w:t>UMR UPEC – CNRS). 2-8 rue Henri Dunant, 94 320 Thiais </w:t>
      </w:r>
    </w:p>
    <w:p w14:paraId="50096934" w14:textId="77777777" w:rsidR="009835A3" w:rsidRDefault="009835A3" w:rsidP="009835A3">
      <w:pPr>
        <w:pBdr>
          <w:bottom w:val="single" w:sz="4" w:space="6" w:color="0070C0"/>
        </w:pBdr>
        <w:spacing w:before="24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 prévisionnelles de l’accueil</w:t>
      </w:r>
      <w:r>
        <w:rPr>
          <w:rFonts w:ascii="Arial" w:hAnsi="Arial" w:cs="Arial"/>
          <w:sz w:val="20"/>
          <w:szCs w:val="20"/>
        </w:rPr>
        <w:t xml:space="preserve"> : A partir de </w:t>
      </w:r>
      <w:r w:rsidR="006F3C33">
        <w:rPr>
          <w:rFonts w:ascii="Arial" w:hAnsi="Arial" w:cs="Arial"/>
          <w:sz w:val="20"/>
          <w:szCs w:val="20"/>
        </w:rPr>
        <w:t>septembre 2023</w:t>
      </w:r>
      <w:r>
        <w:rPr>
          <w:rFonts w:ascii="Arial" w:hAnsi="Arial" w:cs="Arial"/>
          <w:sz w:val="20"/>
          <w:szCs w:val="20"/>
        </w:rPr>
        <w:t xml:space="preserve"> pour une durée de 5 à 6 mois </w:t>
      </w:r>
    </w:p>
    <w:p w14:paraId="1415D0ED" w14:textId="74BBFE08" w:rsidR="009835A3" w:rsidRPr="00DB3189" w:rsidRDefault="009835A3" w:rsidP="009835A3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DB3189">
        <w:rPr>
          <w:rFonts w:ascii="Arial" w:hAnsi="Arial" w:cs="Arial"/>
          <w:sz w:val="28"/>
          <w:szCs w:val="28"/>
        </w:rPr>
        <w:t xml:space="preserve">Sujet : </w:t>
      </w:r>
      <w:r w:rsidRPr="00DB3189">
        <w:rPr>
          <w:rFonts w:ascii="Arial" w:hAnsi="Arial" w:cs="Arial"/>
          <w:b/>
          <w:sz w:val="28"/>
          <w:szCs w:val="28"/>
        </w:rPr>
        <w:t xml:space="preserve">Bilan environnemental </w:t>
      </w:r>
      <w:r w:rsidR="00FA1D70">
        <w:rPr>
          <w:rFonts w:ascii="Arial" w:hAnsi="Arial" w:cs="Arial"/>
          <w:b/>
          <w:sz w:val="28"/>
          <w:szCs w:val="28"/>
        </w:rPr>
        <w:t>d</w:t>
      </w:r>
      <w:bookmarkStart w:id="0" w:name="_GoBack"/>
      <w:bookmarkEnd w:id="0"/>
      <w:r w:rsidR="006F3C33" w:rsidRPr="00DB3189">
        <w:rPr>
          <w:rFonts w:ascii="Arial" w:hAnsi="Arial" w:cs="Arial"/>
          <w:b/>
          <w:sz w:val="28"/>
          <w:szCs w:val="28"/>
        </w:rPr>
        <w:t>'un procédé de recyclage novateur pour les alliages métalliques</w:t>
      </w:r>
    </w:p>
    <w:p w14:paraId="31EC0A5F" w14:textId="77777777" w:rsidR="00DB3189" w:rsidRDefault="00DB3189" w:rsidP="009835A3">
      <w:pPr>
        <w:spacing w:before="240" w:after="360"/>
        <w:jc w:val="center"/>
        <w:rPr>
          <w:rFonts w:ascii="Arial" w:hAnsi="Arial" w:cs="Arial"/>
          <w:b/>
          <w:sz w:val="20"/>
          <w:szCs w:val="20"/>
        </w:rPr>
      </w:pPr>
    </w:p>
    <w:p w14:paraId="23FCD031" w14:textId="77777777" w:rsidR="009835A3" w:rsidRDefault="009835A3" w:rsidP="009835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Contexte </w:t>
      </w:r>
    </w:p>
    <w:p w14:paraId="34CBB534" w14:textId="77777777" w:rsidR="00C06AEE" w:rsidRPr="00C06AEE" w:rsidRDefault="009835A3" w:rsidP="00C06AEE">
      <w:pPr>
        <w:spacing w:before="240" w:after="6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de </w:t>
      </w:r>
      <w:r w:rsidR="00C06AEE">
        <w:rPr>
          <w:rFonts w:ascii="Arial" w:hAnsi="Arial" w:cs="Arial"/>
          <w:sz w:val="20"/>
          <w:szCs w:val="20"/>
        </w:rPr>
        <w:t>réduire les émissions de GES</w:t>
      </w:r>
      <w:r>
        <w:rPr>
          <w:rFonts w:ascii="Arial" w:hAnsi="Arial" w:cs="Arial"/>
          <w:sz w:val="20"/>
          <w:szCs w:val="20"/>
        </w:rPr>
        <w:t xml:space="preserve">, </w:t>
      </w:r>
      <w:r w:rsidR="00C06AEE">
        <w:rPr>
          <w:rFonts w:ascii="Arial" w:hAnsi="Arial" w:cs="Arial"/>
          <w:sz w:val="20"/>
          <w:szCs w:val="20"/>
        </w:rPr>
        <w:t>toutes les pistes doivent être explorées</w:t>
      </w:r>
      <w:r w:rsidR="00C06AEE" w:rsidRPr="00C06AEE">
        <w:rPr>
          <w:rFonts w:ascii="Arial" w:hAnsi="Arial" w:cs="Arial"/>
          <w:sz w:val="20"/>
          <w:szCs w:val="20"/>
        </w:rPr>
        <w:t xml:space="preserve">. </w:t>
      </w:r>
      <w:r w:rsidR="00C06AEE">
        <w:rPr>
          <w:rFonts w:ascii="Arial" w:hAnsi="Arial" w:cs="Arial"/>
          <w:sz w:val="20"/>
          <w:szCs w:val="20"/>
        </w:rPr>
        <w:t xml:space="preserve">La </w:t>
      </w:r>
      <w:r w:rsidR="00C06AEE" w:rsidRPr="00C06AEE">
        <w:rPr>
          <w:rFonts w:ascii="Arial" w:hAnsi="Arial" w:cs="Arial"/>
          <w:sz w:val="20"/>
          <w:szCs w:val="20"/>
        </w:rPr>
        <w:t xml:space="preserve">production des alliages métalliques </w:t>
      </w:r>
      <w:r w:rsidR="00C06AEE">
        <w:rPr>
          <w:rFonts w:ascii="Arial" w:hAnsi="Arial" w:cs="Arial"/>
          <w:sz w:val="20"/>
          <w:szCs w:val="20"/>
        </w:rPr>
        <w:t>est donc également concernée</w:t>
      </w:r>
      <w:r w:rsidR="00C06AEE" w:rsidRPr="00C06AEE">
        <w:rPr>
          <w:rFonts w:ascii="Arial" w:hAnsi="Arial" w:cs="Arial"/>
          <w:sz w:val="20"/>
          <w:szCs w:val="20"/>
        </w:rPr>
        <w:t xml:space="preserve">. </w:t>
      </w:r>
      <w:r w:rsidR="00C06AEE">
        <w:rPr>
          <w:rFonts w:ascii="Arial" w:hAnsi="Arial" w:cs="Arial"/>
          <w:sz w:val="20"/>
          <w:szCs w:val="20"/>
        </w:rPr>
        <w:t>Le</w:t>
      </w:r>
      <w:r w:rsidR="00C06AEE" w:rsidRPr="00C06AEE">
        <w:rPr>
          <w:rFonts w:ascii="Arial" w:hAnsi="Arial" w:cs="Arial"/>
          <w:sz w:val="20"/>
          <w:szCs w:val="20"/>
        </w:rPr>
        <w:t xml:space="preserve"> développement de nouvelles méthodes de recyclage est une voie prometteuse. Actuellement, les alliages métalliques sont recyclés par re-fusion, ce qui diminue déjà nettement les émissions de GES. Pour les diminuer encore plus, le recyclage par voie solide consiste à extruder directement les alliages à recycler.</w:t>
      </w:r>
    </w:p>
    <w:p w14:paraId="05F357B9" w14:textId="77777777" w:rsidR="00C06AEE" w:rsidRPr="00C06AEE" w:rsidRDefault="00C06AEE" w:rsidP="00C06AEE">
      <w:pPr>
        <w:spacing w:before="240" w:after="60" w:line="300" w:lineRule="exact"/>
        <w:jc w:val="both"/>
        <w:rPr>
          <w:rFonts w:ascii="Arial" w:hAnsi="Arial" w:cs="Arial"/>
          <w:sz w:val="20"/>
          <w:szCs w:val="20"/>
        </w:rPr>
      </w:pPr>
      <w:r w:rsidRPr="00C06AEE">
        <w:rPr>
          <w:rFonts w:ascii="Arial" w:hAnsi="Arial" w:cs="Arial"/>
          <w:sz w:val="20"/>
          <w:szCs w:val="20"/>
        </w:rPr>
        <w:t xml:space="preserve">Le recyclage par voie solide a déjà été appliqué à des copeaux d’usinage d’un alliage d’aluminium à l’université de Dortmund. Cela a consisté en un pré-compactage des copeaux, suivi d’un traitement thermique d’homogénéisation et enfin de l’extrusion à chaud. Des propriétés mécaniques prometteuses ont été mesurées. Plus précisément, le matériau atteint 90% des propriétés mécaniques du même alliage non recyclé, en traction parallèlement à la direction d’extrusion. Néanmoins, l’ICMPE a mis en évidence la formation d’oxydes pendant le procédé de recyclage par voie solide. Ces derniers induisent une tendance à la décohésion et une diminution ainsi qu’une variabilité de certaines propriétés mécaniques selon les directions de sollicitation. Les paramètres du procédé doivent donc être optimisés. </w:t>
      </w:r>
    </w:p>
    <w:p w14:paraId="637900CA" w14:textId="77777777" w:rsidR="009835A3" w:rsidRDefault="009835A3" w:rsidP="009835A3">
      <w:pPr>
        <w:spacing w:before="24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Objectif </w:t>
      </w:r>
    </w:p>
    <w:p w14:paraId="34202225" w14:textId="77777777" w:rsidR="00C06AEE" w:rsidRPr="00C06AEE" w:rsidRDefault="009835A3" w:rsidP="00C06AEE">
      <w:pPr>
        <w:spacing w:after="6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L’objectif du stage est d’évaluer</w:t>
      </w:r>
      <w:r w:rsidR="00C06A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impacts environnementaux </w:t>
      </w:r>
      <w:r w:rsidR="00C06AEE" w:rsidRPr="00C06AEE">
        <w:rPr>
          <w:rFonts w:ascii="Arial" w:hAnsi="Arial" w:cs="Arial"/>
          <w:sz w:val="20"/>
          <w:szCs w:val="20"/>
        </w:rPr>
        <w:t xml:space="preserve">du recyclage par voie solide des copeaux d’alliage d’aluminium et de le comparer à l’impact du recyclage par re-fusion pour le même matériau. Pour cela, on </w:t>
      </w:r>
      <w:r w:rsidR="00C06AEE">
        <w:rPr>
          <w:rFonts w:ascii="Arial" w:hAnsi="Arial" w:cs="Arial"/>
          <w:sz w:val="20"/>
          <w:szCs w:val="20"/>
        </w:rPr>
        <w:t>utilisera la méthode</w:t>
      </w:r>
      <w:r w:rsidR="00C06AEE" w:rsidRPr="00C06AEE">
        <w:rPr>
          <w:rFonts w:ascii="Arial" w:hAnsi="Arial" w:cs="Arial"/>
          <w:sz w:val="20"/>
          <w:szCs w:val="20"/>
        </w:rPr>
        <w:t xml:space="preserve"> analyse du cycle de vie prenant en compte les propriétés du matériau et les différents paramètres du procédé.</w:t>
      </w:r>
    </w:p>
    <w:p w14:paraId="4FCABA56" w14:textId="77777777" w:rsidR="00C06AEE" w:rsidRDefault="00C06AEE" w:rsidP="009835A3">
      <w:pPr>
        <w:spacing w:after="6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F5B475D" w14:textId="77777777" w:rsidR="00725C16" w:rsidRDefault="009835A3" w:rsidP="00725C16">
      <w:pPr>
        <w:spacing w:after="6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Méthodologie</w:t>
      </w:r>
    </w:p>
    <w:p w14:paraId="5BCD979F" w14:textId="77777777" w:rsidR="00725C16" w:rsidRPr="00725C16" w:rsidRDefault="00725C16" w:rsidP="00725C16">
      <w:pPr>
        <w:spacing w:after="6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b</w:t>
      </w:r>
      <w:r w:rsidRPr="00C06AEE">
        <w:rPr>
          <w:rFonts w:ascii="Arial" w:hAnsi="Arial" w:cs="Arial"/>
          <w:sz w:val="20"/>
          <w:szCs w:val="20"/>
        </w:rPr>
        <w:t>ibliographie</w:t>
      </w:r>
      <w:r>
        <w:rPr>
          <w:rFonts w:ascii="Arial" w:hAnsi="Arial" w:cs="Arial"/>
          <w:sz w:val="20"/>
          <w:szCs w:val="20"/>
        </w:rPr>
        <w:t xml:space="preserve"> sera réalisée afin de réaliser un état des lieux des </w:t>
      </w:r>
      <w:r w:rsidRPr="00C06AEE">
        <w:rPr>
          <w:rFonts w:ascii="Arial" w:hAnsi="Arial" w:cs="Arial"/>
          <w:sz w:val="20"/>
          <w:szCs w:val="20"/>
        </w:rPr>
        <w:t xml:space="preserve">ACV du procédé de recyclage classique (par re-fusion) </w:t>
      </w:r>
      <w:r>
        <w:rPr>
          <w:rFonts w:ascii="Arial" w:hAnsi="Arial" w:cs="Arial"/>
          <w:sz w:val="20"/>
          <w:szCs w:val="20"/>
        </w:rPr>
        <w:t>existantes dans le but d’</w:t>
      </w:r>
      <w:r w:rsidRPr="00C06AEE">
        <w:rPr>
          <w:rFonts w:ascii="Arial" w:hAnsi="Arial" w:cs="Arial"/>
          <w:sz w:val="20"/>
          <w:szCs w:val="20"/>
        </w:rPr>
        <w:t>établir des valeurs de référence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93E8A9F" w14:textId="01457BC0" w:rsidR="009835A3" w:rsidRDefault="009835A3" w:rsidP="009835A3">
      <w:pPr>
        <w:spacing w:after="6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méthode Analyse de Cycle de Vie sera utilisée. Cette méthode multicritères et multiétapes permet l’évaluation sur le cycle de vie complet du produit, c’est-à-dire depuis son extraction jusqu’à sa fin de vie, de différents indicateurs d’impact. Par ailleurs des visites de site auront lieu afin de collecter les données de process nécessaires.</w:t>
      </w:r>
    </w:p>
    <w:p w14:paraId="61A927A0" w14:textId="31620BC7" w:rsidR="00DB3189" w:rsidRDefault="00DB3189" w:rsidP="009835A3">
      <w:pPr>
        <w:spacing w:after="60" w:line="300" w:lineRule="exact"/>
        <w:jc w:val="both"/>
        <w:rPr>
          <w:rFonts w:ascii="Arial" w:hAnsi="Arial" w:cs="Arial"/>
          <w:sz w:val="20"/>
          <w:szCs w:val="20"/>
        </w:rPr>
      </w:pPr>
    </w:p>
    <w:p w14:paraId="196AB0C1" w14:textId="77777777" w:rsidR="00DB3189" w:rsidRDefault="00DB3189" w:rsidP="009835A3">
      <w:pPr>
        <w:spacing w:after="60" w:line="300" w:lineRule="exact"/>
        <w:jc w:val="both"/>
        <w:rPr>
          <w:rFonts w:ascii="Arial" w:hAnsi="Arial" w:cs="Arial"/>
          <w:sz w:val="20"/>
          <w:szCs w:val="20"/>
        </w:rPr>
      </w:pPr>
    </w:p>
    <w:p w14:paraId="6F58EA1F" w14:textId="77777777" w:rsidR="009835A3" w:rsidRDefault="009835A3" w:rsidP="009835A3">
      <w:pPr>
        <w:spacing w:before="24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Profil du candidat</w:t>
      </w:r>
    </w:p>
    <w:p w14:paraId="411AAAE9" w14:textId="1D7889CA" w:rsidR="009835A3" w:rsidRDefault="009835A3" w:rsidP="00983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de Master ou PFE d’école d’ingénieur</w:t>
      </w:r>
    </w:p>
    <w:p w14:paraId="344AC055" w14:textId="7EFCD92A" w:rsidR="0021765F" w:rsidRDefault="0021765F" w:rsidP="00983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spécialisation en matériaux, procédés et/ou </w:t>
      </w:r>
      <w:r w:rsidR="00B91FD7">
        <w:rPr>
          <w:rFonts w:ascii="Arial" w:hAnsi="Arial" w:cs="Arial"/>
          <w:sz w:val="20"/>
          <w:szCs w:val="20"/>
        </w:rPr>
        <w:t>analyse de cycle de vie</w:t>
      </w:r>
      <w:r>
        <w:rPr>
          <w:rFonts w:ascii="Arial" w:hAnsi="Arial" w:cs="Arial"/>
          <w:sz w:val="20"/>
          <w:szCs w:val="20"/>
        </w:rPr>
        <w:t xml:space="preserve"> est souhaitée. </w:t>
      </w:r>
    </w:p>
    <w:p w14:paraId="45242029" w14:textId="77777777" w:rsidR="00DB3189" w:rsidRDefault="00DB3189" w:rsidP="009835A3">
      <w:pPr>
        <w:jc w:val="both"/>
        <w:rPr>
          <w:rFonts w:ascii="Arial" w:hAnsi="Arial" w:cs="Arial"/>
          <w:sz w:val="20"/>
          <w:szCs w:val="20"/>
        </w:rPr>
      </w:pPr>
    </w:p>
    <w:p w14:paraId="371B8C07" w14:textId="77777777" w:rsidR="009835A3" w:rsidRDefault="009835A3" w:rsidP="009835A3">
      <w:pPr>
        <w:keepNext/>
        <w:keepLine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Candidatures et contacts</w:t>
      </w:r>
    </w:p>
    <w:p w14:paraId="36D7CB26" w14:textId="700F01FB" w:rsidR="009835A3" w:rsidRDefault="009835A3" w:rsidP="00983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candidats intéressés devront envoyer leur CV accompagné d'une lettre de motivation et d'un relevé de notes de M1 et M2 à</w:t>
      </w:r>
      <w:r w:rsidR="002B589D">
        <w:rPr>
          <w:rFonts w:ascii="Arial" w:hAnsi="Arial" w:cs="Arial"/>
          <w:sz w:val="20"/>
          <w:szCs w:val="20"/>
        </w:rPr>
        <w:t> </w:t>
      </w:r>
      <w:r w:rsidR="0021765F">
        <w:rPr>
          <w:rFonts w:ascii="Arial" w:hAnsi="Arial" w:cs="Arial"/>
          <w:sz w:val="20"/>
          <w:szCs w:val="20"/>
        </w:rPr>
        <w:t>Adélaïde Feraille</w:t>
      </w:r>
      <w:r w:rsidR="00B91FD7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DB3189" w:rsidRPr="00955E6A">
          <w:rPr>
            <w:rStyle w:val="Lienhypertexte"/>
            <w:rFonts w:ascii="Arial" w:hAnsi="Arial" w:cs="Arial"/>
            <w:sz w:val="20"/>
            <w:szCs w:val="20"/>
          </w:rPr>
          <w:t>adelaide.feraille@enpc.fr</w:t>
        </w:r>
      </w:hyperlink>
      <w:r w:rsidR="00B91FD7">
        <w:rPr>
          <w:rFonts w:ascii="Arial" w:hAnsi="Arial" w:cs="Arial"/>
          <w:sz w:val="20"/>
          <w:szCs w:val="20"/>
        </w:rPr>
        <w:t>)</w:t>
      </w:r>
      <w:r w:rsidR="0021765F">
        <w:rPr>
          <w:rFonts w:ascii="Arial" w:hAnsi="Arial" w:cs="Arial"/>
          <w:sz w:val="20"/>
          <w:szCs w:val="20"/>
        </w:rPr>
        <w:t xml:space="preserve"> et Mathilde Laurent-Brocq (</w:t>
      </w:r>
      <w:hyperlink r:id="rId5" w:history="1">
        <w:r w:rsidR="00DB3189" w:rsidRPr="00955E6A">
          <w:rPr>
            <w:rStyle w:val="Lienhypertexte"/>
            <w:rFonts w:ascii="Arial" w:hAnsi="Arial" w:cs="Arial"/>
            <w:sz w:val="20"/>
            <w:szCs w:val="20"/>
          </w:rPr>
          <w:t>mathilde.laurent-brocq@cnrs.fr</w:t>
        </w:r>
      </w:hyperlink>
      <w:r w:rsidR="0021765F">
        <w:rPr>
          <w:rFonts w:ascii="Arial" w:hAnsi="Arial" w:cs="Arial"/>
          <w:sz w:val="20"/>
          <w:szCs w:val="20"/>
        </w:rPr>
        <w:t>)</w:t>
      </w:r>
    </w:p>
    <w:p w14:paraId="181C5FD5" w14:textId="77777777" w:rsidR="00DB3189" w:rsidRDefault="00DB3189" w:rsidP="009835A3">
      <w:pPr>
        <w:jc w:val="both"/>
        <w:rPr>
          <w:rFonts w:ascii="Arial" w:hAnsi="Arial" w:cs="Arial"/>
          <w:sz w:val="20"/>
          <w:szCs w:val="20"/>
        </w:rPr>
      </w:pPr>
    </w:p>
    <w:p w14:paraId="0F994C25" w14:textId="77777777" w:rsidR="009835A3" w:rsidRDefault="009835A3" w:rsidP="00983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Gratifications</w:t>
      </w:r>
      <w:r>
        <w:rPr>
          <w:rFonts w:ascii="Arial" w:hAnsi="Arial" w:cs="Arial"/>
          <w:sz w:val="20"/>
          <w:szCs w:val="20"/>
        </w:rPr>
        <w:t xml:space="preserve"> : 27,30€ par jour, soit environ 550€ par mois + la moitié de l'abonnement de transports en commun</w:t>
      </w:r>
    </w:p>
    <w:p w14:paraId="070AEB08" w14:textId="77777777" w:rsidR="00995B3F" w:rsidRDefault="00995B3F"/>
    <w:sectPr w:rsidR="0099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AB02F" w16cex:dateUtc="2022-10-07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3CC21" w16cid:durableId="26EAB0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2"/>
    <w:rsid w:val="0009671D"/>
    <w:rsid w:val="001E4BFC"/>
    <w:rsid w:val="0021765F"/>
    <w:rsid w:val="002B589D"/>
    <w:rsid w:val="00451AE2"/>
    <w:rsid w:val="005355B6"/>
    <w:rsid w:val="005D0C38"/>
    <w:rsid w:val="006441BF"/>
    <w:rsid w:val="006F3C33"/>
    <w:rsid w:val="00725C16"/>
    <w:rsid w:val="009835A3"/>
    <w:rsid w:val="00995B3F"/>
    <w:rsid w:val="00B91FD7"/>
    <w:rsid w:val="00C06AEE"/>
    <w:rsid w:val="00DB3189"/>
    <w:rsid w:val="00F75103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BAB"/>
  <w15:chartTrackingRefBased/>
  <w15:docId w15:val="{46BD782A-8E1D-4F60-AE65-AE56F63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A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35A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58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8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8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8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58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8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lde.laurent-brocq@cnrs.fr" TargetMode="External"/><Relationship Id="rId4" Type="http://schemas.openxmlformats.org/officeDocument/2006/relationships/hyperlink" Target="mailto:adelaide.feraille@enpc.fr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FERAILLE</dc:creator>
  <cp:keywords/>
  <dc:description/>
  <cp:lastModifiedBy>Adelaide FERAILLE</cp:lastModifiedBy>
  <cp:revision>2</cp:revision>
  <dcterms:created xsi:type="dcterms:W3CDTF">2022-10-07T13:12:00Z</dcterms:created>
  <dcterms:modified xsi:type="dcterms:W3CDTF">2022-10-07T13:12:00Z</dcterms:modified>
</cp:coreProperties>
</file>